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6D6C" w14:textId="77777777" w:rsidR="005F11FC" w:rsidRPr="005F11FC" w:rsidRDefault="005F11FC" w:rsidP="005F11FC">
      <w:pPr>
        <w:spacing w:after="0" w:line="240" w:lineRule="auto"/>
        <w:jc w:val="center"/>
        <w:rPr>
          <w:rFonts w:ascii="Arial" w:eastAsia="Times New Roman" w:hAnsi="Arial" w:cs="Arial"/>
          <w:color w:val="000000"/>
          <w:sz w:val="18"/>
          <w:szCs w:val="18"/>
          <w:lang w:eastAsia="es-CO"/>
        </w:rPr>
      </w:pPr>
      <w:r w:rsidRPr="005F11FC">
        <w:rPr>
          <w:rFonts w:ascii="Segoe UI" w:eastAsia="Times New Roman" w:hAnsi="Segoe UI" w:cs="Segoe UI"/>
          <w:b/>
          <w:bCs/>
          <w:color w:val="0000FF"/>
          <w:sz w:val="28"/>
          <w:szCs w:val="28"/>
          <w:lang w:eastAsia="es-CO"/>
        </w:rPr>
        <w:t xml:space="preserve">OFICIO </w:t>
      </w:r>
      <w:proofErr w:type="spellStart"/>
      <w:r w:rsidRPr="005F11FC">
        <w:rPr>
          <w:rFonts w:ascii="Segoe UI" w:eastAsia="Times New Roman" w:hAnsi="Segoe UI" w:cs="Segoe UI"/>
          <w:b/>
          <w:bCs/>
          <w:color w:val="0000FF"/>
          <w:sz w:val="28"/>
          <w:szCs w:val="28"/>
          <w:lang w:eastAsia="es-CO"/>
        </w:rPr>
        <w:t>Nº</w:t>
      </w:r>
      <w:proofErr w:type="spellEnd"/>
      <w:r w:rsidRPr="005F11FC">
        <w:rPr>
          <w:rFonts w:ascii="Segoe UI" w:eastAsia="Times New Roman" w:hAnsi="Segoe UI" w:cs="Segoe UI"/>
          <w:b/>
          <w:bCs/>
          <w:color w:val="0000FF"/>
          <w:sz w:val="28"/>
          <w:szCs w:val="28"/>
          <w:lang w:eastAsia="es-CO"/>
        </w:rPr>
        <w:t xml:space="preserve"> 1087 [907104]</w:t>
      </w:r>
    </w:p>
    <w:p w14:paraId="3A24ABBD" w14:textId="77777777" w:rsidR="005F11FC" w:rsidRPr="005F11FC" w:rsidRDefault="005F11FC" w:rsidP="005F11FC">
      <w:pPr>
        <w:spacing w:after="0" w:line="240" w:lineRule="auto"/>
        <w:jc w:val="center"/>
        <w:rPr>
          <w:rFonts w:ascii="Arial" w:eastAsia="Times New Roman" w:hAnsi="Arial" w:cs="Arial"/>
          <w:color w:val="000000"/>
          <w:sz w:val="18"/>
          <w:szCs w:val="18"/>
          <w:lang w:eastAsia="es-CO"/>
        </w:rPr>
      </w:pPr>
      <w:r w:rsidRPr="005F11FC">
        <w:rPr>
          <w:rFonts w:ascii="Segoe UI" w:eastAsia="Times New Roman" w:hAnsi="Segoe UI" w:cs="Segoe UI"/>
          <w:b/>
          <w:bCs/>
          <w:color w:val="0000FF"/>
          <w:sz w:val="28"/>
          <w:szCs w:val="28"/>
          <w:lang w:eastAsia="es-CO"/>
        </w:rPr>
        <w:t>19-07-2021</w:t>
      </w:r>
    </w:p>
    <w:p w14:paraId="2BDD53E5" w14:textId="77777777" w:rsidR="005F11FC" w:rsidRPr="005F11FC" w:rsidRDefault="005F11FC" w:rsidP="005F11FC">
      <w:pPr>
        <w:spacing w:after="0" w:line="240" w:lineRule="auto"/>
        <w:jc w:val="center"/>
        <w:rPr>
          <w:rFonts w:ascii="Arial" w:eastAsia="Times New Roman" w:hAnsi="Arial" w:cs="Arial"/>
          <w:color w:val="000000"/>
          <w:sz w:val="18"/>
          <w:szCs w:val="18"/>
          <w:lang w:eastAsia="es-CO"/>
        </w:rPr>
      </w:pPr>
      <w:r w:rsidRPr="005F11FC">
        <w:rPr>
          <w:rFonts w:ascii="Segoe UI" w:eastAsia="Times New Roman" w:hAnsi="Segoe UI" w:cs="Segoe UI"/>
          <w:b/>
          <w:bCs/>
          <w:color w:val="0000FF"/>
          <w:sz w:val="28"/>
          <w:szCs w:val="28"/>
          <w:lang w:eastAsia="es-CO"/>
        </w:rPr>
        <w:t>DIAN</w:t>
      </w:r>
    </w:p>
    <w:p w14:paraId="64E830AF"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3AA0A821"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405ECBCF"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100208221–1087</w:t>
      </w:r>
    </w:p>
    <w:p w14:paraId="0FBDAB87"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Bogotá, D.C.</w:t>
      </w:r>
    </w:p>
    <w:p w14:paraId="7A6A2006"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17"/>
        <w:gridCol w:w="271"/>
        <w:gridCol w:w="271"/>
        <w:gridCol w:w="6471"/>
      </w:tblGrid>
      <w:tr w:rsidR="005F11FC" w:rsidRPr="005F11FC" w14:paraId="66D5033A" w14:textId="77777777" w:rsidTr="005F11FC">
        <w:tc>
          <w:tcPr>
            <w:tcW w:w="1817" w:type="dxa"/>
            <w:tcBorders>
              <w:top w:val="nil"/>
              <w:left w:val="nil"/>
              <w:bottom w:val="nil"/>
              <w:right w:val="nil"/>
            </w:tcBorders>
            <w:shd w:val="clear" w:color="auto" w:fill="auto"/>
            <w:tcMar>
              <w:top w:w="0" w:type="dxa"/>
              <w:left w:w="108" w:type="dxa"/>
              <w:bottom w:w="0" w:type="dxa"/>
              <w:right w:w="108" w:type="dxa"/>
            </w:tcMar>
            <w:hideMark/>
          </w:tcPr>
          <w:p w14:paraId="545B790B"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43F865E"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412A927"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 </w:t>
            </w:r>
          </w:p>
        </w:tc>
        <w:tc>
          <w:tcPr>
            <w:tcW w:w="6471" w:type="dxa"/>
            <w:tcBorders>
              <w:top w:val="nil"/>
              <w:left w:val="nil"/>
              <w:bottom w:val="nil"/>
              <w:right w:val="nil"/>
            </w:tcBorders>
            <w:shd w:val="clear" w:color="auto" w:fill="auto"/>
            <w:tcMar>
              <w:top w:w="0" w:type="dxa"/>
              <w:left w:w="108" w:type="dxa"/>
              <w:bottom w:w="0" w:type="dxa"/>
              <w:right w:w="108" w:type="dxa"/>
            </w:tcMar>
            <w:hideMark/>
          </w:tcPr>
          <w:p w14:paraId="7AF0114F"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Procedimiento tributario</w:t>
            </w:r>
          </w:p>
        </w:tc>
      </w:tr>
      <w:tr w:rsidR="005F11FC" w:rsidRPr="005F11FC" w14:paraId="4F198A71" w14:textId="77777777" w:rsidTr="005F11FC">
        <w:tc>
          <w:tcPr>
            <w:tcW w:w="1817" w:type="dxa"/>
            <w:tcBorders>
              <w:top w:val="nil"/>
              <w:left w:val="nil"/>
              <w:bottom w:val="nil"/>
              <w:right w:val="nil"/>
            </w:tcBorders>
            <w:shd w:val="clear" w:color="auto" w:fill="auto"/>
            <w:tcMar>
              <w:top w:w="0" w:type="dxa"/>
              <w:left w:w="108" w:type="dxa"/>
              <w:bottom w:w="0" w:type="dxa"/>
              <w:right w:w="108" w:type="dxa"/>
            </w:tcMar>
            <w:hideMark/>
          </w:tcPr>
          <w:p w14:paraId="14E9A7E8"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2DB2EF8"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DA5C912"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 </w:t>
            </w:r>
          </w:p>
        </w:tc>
        <w:tc>
          <w:tcPr>
            <w:tcW w:w="6471" w:type="dxa"/>
            <w:tcBorders>
              <w:top w:val="nil"/>
              <w:left w:val="nil"/>
              <w:bottom w:val="nil"/>
              <w:right w:val="nil"/>
            </w:tcBorders>
            <w:shd w:val="clear" w:color="auto" w:fill="auto"/>
            <w:tcMar>
              <w:top w:w="0" w:type="dxa"/>
              <w:left w:w="108" w:type="dxa"/>
              <w:bottom w:w="0" w:type="dxa"/>
              <w:right w:w="108" w:type="dxa"/>
            </w:tcMar>
            <w:hideMark/>
          </w:tcPr>
          <w:p w14:paraId="2C1F7D60"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Información exógena</w:t>
            </w:r>
          </w:p>
        </w:tc>
      </w:tr>
      <w:tr w:rsidR="005F11FC" w:rsidRPr="005F11FC" w14:paraId="31645E69" w14:textId="77777777" w:rsidTr="005F11FC">
        <w:tc>
          <w:tcPr>
            <w:tcW w:w="1817" w:type="dxa"/>
            <w:tcBorders>
              <w:top w:val="nil"/>
              <w:left w:val="nil"/>
              <w:bottom w:val="nil"/>
              <w:right w:val="nil"/>
            </w:tcBorders>
            <w:shd w:val="clear" w:color="auto" w:fill="auto"/>
            <w:tcMar>
              <w:top w:w="0" w:type="dxa"/>
              <w:left w:w="108" w:type="dxa"/>
              <w:bottom w:w="0" w:type="dxa"/>
              <w:right w:w="108" w:type="dxa"/>
            </w:tcMar>
            <w:hideMark/>
          </w:tcPr>
          <w:p w14:paraId="21E0DE3B"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ABA345B"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477665E"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 </w:t>
            </w:r>
          </w:p>
        </w:tc>
        <w:tc>
          <w:tcPr>
            <w:tcW w:w="6471" w:type="dxa"/>
            <w:tcBorders>
              <w:top w:val="nil"/>
              <w:left w:val="nil"/>
              <w:bottom w:val="nil"/>
              <w:right w:val="nil"/>
            </w:tcBorders>
            <w:shd w:val="clear" w:color="auto" w:fill="auto"/>
            <w:tcMar>
              <w:top w:w="0" w:type="dxa"/>
              <w:left w:w="108" w:type="dxa"/>
              <w:bottom w:w="0" w:type="dxa"/>
              <w:right w:w="108" w:type="dxa"/>
            </w:tcMar>
            <w:hideMark/>
          </w:tcPr>
          <w:p w14:paraId="539EFFC9"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Artículos </w:t>
            </w:r>
            <w:hyperlink r:id="rId4" w:tooltip="Estatuto Tributario CETA" w:history="1">
              <w:r w:rsidRPr="005F11FC">
                <w:rPr>
                  <w:rFonts w:ascii="Segoe UI" w:eastAsia="Times New Roman" w:hAnsi="Segoe UI" w:cs="Segoe UI"/>
                  <w:color w:val="0089E1"/>
                  <w:sz w:val="20"/>
                  <w:szCs w:val="20"/>
                  <w:u w:val="single"/>
                  <w:lang w:eastAsia="es-CO"/>
                </w:rPr>
                <w:t>368</w:t>
              </w:r>
            </w:hyperlink>
            <w:r w:rsidRPr="005F11FC">
              <w:rPr>
                <w:rFonts w:ascii="Segoe UI" w:eastAsia="Times New Roman" w:hAnsi="Segoe UI" w:cs="Segoe UI"/>
                <w:sz w:val="20"/>
                <w:szCs w:val="20"/>
                <w:lang w:eastAsia="es-CO"/>
              </w:rPr>
              <w:t>, </w:t>
            </w:r>
            <w:hyperlink r:id="rId5" w:tooltip="Estatuto Tributario CETA" w:history="1">
              <w:r w:rsidRPr="005F11FC">
                <w:rPr>
                  <w:rFonts w:ascii="Segoe UI" w:eastAsia="Times New Roman" w:hAnsi="Segoe UI" w:cs="Segoe UI"/>
                  <w:color w:val="0089E1"/>
                  <w:sz w:val="20"/>
                  <w:szCs w:val="20"/>
                  <w:u w:val="single"/>
                  <w:lang w:eastAsia="es-CO"/>
                </w:rPr>
                <w:t>905</w:t>
              </w:r>
            </w:hyperlink>
            <w:r w:rsidRPr="005F11FC">
              <w:rPr>
                <w:rFonts w:ascii="Segoe UI" w:eastAsia="Times New Roman" w:hAnsi="Segoe UI" w:cs="Segoe UI"/>
                <w:sz w:val="20"/>
                <w:szCs w:val="20"/>
                <w:lang w:eastAsia="es-CO"/>
              </w:rPr>
              <w:t>, </w:t>
            </w:r>
            <w:hyperlink r:id="rId6" w:tooltip="Estatuto Tributario CETA" w:history="1">
              <w:r w:rsidRPr="005F11FC">
                <w:rPr>
                  <w:rFonts w:ascii="Segoe UI" w:eastAsia="Times New Roman" w:hAnsi="Segoe UI" w:cs="Segoe UI"/>
                  <w:color w:val="0089E1"/>
                  <w:sz w:val="20"/>
                  <w:szCs w:val="20"/>
                  <w:u w:val="single"/>
                  <w:lang w:eastAsia="es-CO"/>
                </w:rPr>
                <w:t>911</w:t>
              </w:r>
            </w:hyperlink>
            <w:r w:rsidRPr="005F11FC">
              <w:rPr>
                <w:rFonts w:ascii="Segoe UI" w:eastAsia="Times New Roman" w:hAnsi="Segoe UI" w:cs="Segoe UI"/>
                <w:sz w:val="20"/>
                <w:szCs w:val="20"/>
                <w:lang w:eastAsia="es-CO"/>
              </w:rPr>
              <w:t> del Estatuto Tributario</w:t>
            </w:r>
          </w:p>
          <w:p w14:paraId="15C7A17B"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Artículo 1, 17, 19, 20 de la Resolución No. 00070 de 2010 (sic)</w:t>
            </w:r>
          </w:p>
          <w:p w14:paraId="268AAEE5" w14:textId="77777777" w:rsidR="005F11FC" w:rsidRPr="005F11FC" w:rsidRDefault="005F11FC" w:rsidP="005F11FC">
            <w:pPr>
              <w:spacing w:after="0" w:line="240" w:lineRule="auto"/>
              <w:jc w:val="both"/>
              <w:rPr>
                <w:rFonts w:eastAsia="Times New Roman" w:cs="Times New Roman"/>
                <w:szCs w:val="24"/>
                <w:lang w:eastAsia="es-CO"/>
              </w:rPr>
            </w:pPr>
            <w:r w:rsidRPr="005F11FC">
              <w:rPr>
                <w:rFonts w:ascii="Segoe UI" w:eastAsia="Times New Roman" w:hAnsi="Segoe UI" w:cs="Segoe UI"/>
                <w:sz w:val="20"/>
                <w:szCs w:val="20"/>
                <w:lang w:eastAsia="es-CO"/>
              </w:rPr>
              <w:t xml:space="preserve">Oficio No. 017797 del 10 de julio de 2019 y Concepto No. 906177 del 28 de junio de 2021 </w:t>
            </w:r>
            <w:proofErr w:type="spellStart"/>
            <w:r w:rsidRPr="005F11FC">
              <w:rPr>
                <w:rFonts w:ascii="Segoe UI" w:eastAsia="Times New Roman" w:hAnsi="Segoe UI" w:cs="Segoe UI"/>
                <w:sz w:val="20"/>
                <w:szCs w:val="20"/>
                <w:lang w:eastAsia="es-CO"/>
              </w:rPr>
              <w:t>int</w:t>
            </w:r>
            <w:proofErr w:type="spellEnd"/>
            <w:r w:rsidRPr="005F11FC">
              <w:rPr>
                <w:rFonts w:ascii="Segoe UI" w:eastAsia="Times New Roman" w:hAnsi="Segoe UI" w:cs="Segoe UI"/>
                <w:sz w:val="20"/>
                <w:szCs w:val="20"/>
                <w:lang w:eastAsia="es-CO"/>
              </w:rPr>
              <w:t>. 930</w:t>
            </w:r>
          </w:p>
        </w:tc>
      </w:tr>
    </w:tbl>
    <w:p w14:paraId="7286A61A"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329F29FC"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1F1A69D0"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Cordial saludo,</w:t>
      </w:r>
    </w:p>
    <w:p w14:paraId="535A0C0E"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408D5778"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9615D08"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773AA57D"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El presente oficio recoge una serie de preguntas formuladas respecto de las propiedades horizontales, contribuyentes del régimen simple de tributación y la obligación de presentar información exógena, en los términos de la Resolución No. 000070 de 2020 (sic), las cuales se plantean así:</w:t>
      </w:r>
    </w:p>
    <w:p w14:paraId="1FEBA559"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 </w:t>
      </w:r>
    </w:p>
    <w:p w14:paraId="2E330167"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1. ¿Las personas jurídicas originadas en la constitución de la propiedad horizontal solo están obligadas a la presentación de información exógena cuando se configure lo dispuesto en el literal e) del artículo 1 de la Resolución No. 000070 de 2019?</w:t>
      </w:r>
    </w:p>
    <w:p w14:paraId="75C99D7D"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2. ¿Se deben presentar los Formatos 1007, 1011 y 1012 por parte de una propiedad horizontal?</w:t>
      </w:r>
    </w:p>
    <w:p w14:paraId="52ABB2C7"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 xml:space="preserve">3. ¿Las personas jurídicas originadas en la constitución de la propiedad horizontal deben informar la totalidad de las operaciones realizadas por pagos o abonos en cuenta, independientemente que se haya practicado retención en la fuente o no, en el concepto contable a que correspondan, sin tener en cuenta el valor mínimo a reportar señalado en el parágrafo 1 del artículo 17? </w:t>
      </w:r>
      <w:proofErr w:type="gramStart"/>
      <w:r w:rsidRPr="005F11FC">
        <w:rPr>
          <w:rFonts w:ascii="Segoe UI" w:eastAsia="Times New Roman" w:hAnsi="Segoe UI" w:cs="Segoe UI"/>
          <w:i/>
          <w:iCs/>
          <w:sz w:val="22"/>
          <w:lang w:eastAsia="es-CO"/>
        </w:rPr>
        <w:t>¿Cómo se debe entender lo dispuesto en el literal f) de la Resolución No.</w:t>
      </w:r>
      <w:proofErr w:type="gramEnd"/>
      <w:r w:rsidRPr="005F11FC">
        <w:rPr>
          <w:rFonts w:ascii="Segoe UI" w:eastAsia="Times New Roman" w:hAnsi="Segoe UI" w:cs="Segoe UI"/>
          <w:i/>
          <w:iCs/>
          <w:sz w:val="22"/>
          <w:lang w:eastAsia="es-CO"/>
        </w:rPr>
        <w:t xml:space="preserve"> 000070 de 2019, en el caso de los no contribuyentes que no practicaron retención en la fuente ni autorretenciones?</w:t>
      </w:r>
    </w:p>
    <w:p w14:paraId="1FF66B90"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 xml:space="preserve">4. ¿Los contribuyentes que se acojan al Régimen Simple de Tributación- </w:t>
      </w:r>
      <w:proofErr w:type="gramStart"/>
      <w:r w:rsidRPr="005F11FC">
        <w:rPr>
          <w:rFonts w:ascii="Segoe UI" w:eastAsia="Times New Roman" w:hAnsi="Segoe UI" w:cs="Segoe UI"/>
          <w:i/>
          <w:iCs/>
          <w:sz w:val="22"/>
          <w:lang w:eastAsia="es-CO"/>
        </w:rPr>
        <w:t>SIMPLE deben tener en cuenta las cuantías menores de los Formatos 1001, 1006 y 1007?</w:t>
      </w:r>
      <w:proofErr w:type="gramEnd"/>
    </w:p>
    <w:p w14:paraId="4B894309"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color w:val="000000"/>
          <w:sz w:val="18"/>
          <w:szCs w:val="18"/>
          <w:lang w:eastAsia="es-CO"/>
        </w:rPr>
        <w:t> </w:t>
      </w:r>
    </w:p>
    <w:p w14:paraId="6BDD944C"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Las preguntas planteadas se resolverán a continuación:</w:t>
      </w:r>
    </w:p>
    <w:p w14:paraId="2E8F1442"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b/>
          <w:bCs/>
          <w:i/>
          <w:iCs/>
          <w:sz w:val="22"/>
          <w:lang w:eastAsia="es-CO"/>
        </w:rPr>
        <w:t> </w:t>
      </w:r>
    </w:p>
    <w:p w14:paraId="4208EA23"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b/>
          <w:bCs/>
          <w:i/>
          <w:iCs/>
          <w:sz w:val="22"/>
          <w:lang w:eastAsia="es-CO"/>
        </w:rPr>
        <w:t>1. ¿Las personas jurídicas originadas en la constitución de la propiedad horizontal solo están obligadas a la presentación de información exógena cuando se configure lo dispuesto en el literal e) del artículo 1 de la Resolución No. 000070 de 2019?</w:t>
      </w:r>
    </w:p>
    <w:p w14:paraId="6B0B2976"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26429186"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La interpretación oficial (Oficio No. 017797 del 10 de julio de 2019) en años gravables anteriores, para este caso concluyó que cuando se cumple con algún </w:t>
      </w:r>
      <w:r w:rsidRPr="005F11FC">
        <w:rPr>
          <w:rFonts w:ascii="Segoe UI" w:eastAsia="Times New Roman" w:hAnsi="Segoe UI" w:cs="Segoe UI"/>
          <w:i/>
          <w:iCs/>
          <w:sz w:val="22"/>
          <w:lang w:eastAsia="es-CO"/>
        </w:rPr>
        <w:t>ítem </w:t>
      </w:r>
      <w:r w:rsidRPr="005F11FC">
        <w:rPr>
          <w:rFonts w:ascii="Segoe UI" w:eastAsia="Times New Roman" w:hAnsi="Segoe UI" w:cs="Segoe UI"/>
          <w:sz w:val="22"/>
          <w:lang w:eastAsia="es-CO"/>
        </w:rPr>
        <w:t>del artículo que establece los sujetos obligados a presentar la información exógena se debe dar estricto cumplimiento a las obligaciones relacionadas con este deber.</w:t>
      </w:r>
    </w:p>
    <w:p w14:paraId="62D58CAE"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3582E899"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xml:space="preserve">Esta conclusión es relevante para el presente análisis pues la obligación en comento no solo depende de los ingresos percibidos por la persona jurídica, que para este caso incluye la </w:t>
      </w:r>
      <w:r w:rsidRPr="005F11FC">
        <w:rPr>
          <w:rFonts w:ascii="Segoe UI" w:eastAsia="Times New Roman" w:hAnsi="Segoe UI" w:cs="Segoe UI"/>
          <w:sz w:val="22"/>
          <w:lang w:eastAsia="es-CO"/>
        </w:rPr>
        <w:lastRenderedPageBreak/>
        <w:t xml:space="preserve">propiedad horizontal, </w:t>
      </w:r>
      <w:proofErr w:type="gramStart"/>
      <w:r w:rsidRPr="005F11FC">
        <w:rPr>
          <w:rFonts w:ascii="Segoe UI" w:eastAsia="Times New Roman" w:hAnsi="Segoe UI" w:cs="Segoe UI"/>
          <w:sz w:val="22"/>
          <w:lang w:eastAsia="es-CO"/>
        </w:rPr>
        <w:t>de acuerdo a</w:t>
      </w:r>
      <w:proofErr w:type="gramEnd"/>
      <w:r w:rsidRPr="005F11FC">
        <w:rPr>
          <w:rFonts w:ascii="Segoe UI" w:eastAsia="Times New Roman" w:hAnsi="Segoe UI" w:cs="Segoe UI"/>
          <w:sz w:val="22"/>
          <w:lang w:eastAsia="es-CO"/>
        </w:rPr>
        <w:t xml:space="preserve"> lo señalado en la Ley 675 de 2001, sino la capacidad de actuar como agente de retención.</w:t>
      </w:r>
    </w:p>
    <w:p w14:paraId="7A21F2F2"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0372250E"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Es así como el artículo 1º de la Resolución No. 00070 de 2020 (sic) en sus literales e) y f) establece:</w:t>
      </w:r>
    </w:p>
    <w:p w14:paraId="4D04365E"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 </w:t>
      </w:r>
    </w:p>
    <w:p w14:paraId="35A69B67"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“e) Las </w:t>
      </w:r>
      <w:r w:rsidRPr="005F11FC">
        <w:rPr>
          <w:rFonts w:ascii="Segoe UI" w:eastAsia="Times New Roman" w:hAnsi="Segoe UI" w:cs="Segoe UI"/>
          <w:b/>
          <w:bCs/>
          <w:i/>
          <w:iCs/>
          <w:sz w:val="22"/>
          <w:lang w:eastAsia="es-CO"/>
        </w:rPr>
        <w:t>personas jurídicas y sus asimiladas </w:t>
      </w:r>
      <w:r w:rsidRPr="005F11FC">
        <w:rPr>
          <w:rFonts w:ascii="Segoe UI" w:eastAsia="Times New Roman" w:hAnsi="Segoe UI" w:cs="Segoe UI"/>
          <w:i/>
          <w:iCs/>
          <w:sz w:val="22"/>
          <w:lang w:eastAsia="es-CO"/>
        </w:rPr>
        <w:t>y demás entidades públicas y privadas que en el año gravable 2019 o en el año gravable 2020 hayan obtenido </w:t>
      </w:r>
      <w:r w:rsidRPr="005F11FC">
        <w:rPr>
          <w:rFonts w:ascii="Segoe UI" w:eastAsia="Times New Roman" w:hAnsi="Segoe UI" w:cs="Segoe UI"/>
          <w:b/>
          <w:bCs/>
          <w:i/>
          <w:iCs/>
          <w:sz w:val="22"/>
          <w:lang w:eastAsia="es-CO"/>
        </w:rPr>
        <w:t>ingresos brutos superiores a cien millones de pesos ($100.000.000)</w:t>
      </w:r>
      <w:r w:rsidRPr="005F11FC">
        <w:rPr>
          <w:rFonts w:ascii="Segoe UI" w:eastAsia="Times New Roman" w:hAnsi="Segoe UI" w:cs="Segoe UI"/>
          <w:i/>
          <w:iCs/>
          <w:sz w:val="22"/>
          <w:lang w:eastAsia="es-CO"/>
        </w:rPr>
        <w:t>.</w:t>
      </w:r>
    </w:p>
    <w:p w14:paraId="53A47D6F"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w:t>
      </w:r>
    </w:p>
    <w:p w14:paraId="686CDBF2"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f) Las personas naturales y sus asimiladas que perciban rentas de capital y/o rentas no laborales, </w:t>
      </w:r>
      <w:r w:rsidRPr="005F11FC">
        <w:rPr>
          <w:rFonts w:ascii="Segoe UI" w:eastAsia="Times New Roman" w:hAnsi="Segoe UI" w:cs="Segoe UI"/>
          <w:b/>
          <w:bCs/>
          <w:i/>
          <w:iCs/>
          <w:sz w:val="22"/>
          <w:lang w:eastAsia="es-CO"/>
        </w:rPr>
        <w:t>las personas jurídicas y sus asimiladas</w:t>
      </w:r>
      <w:r w:rsidRPr="005F11FC">
        <w:rPr>
          <w:rFonts w:ascii="Segoe UI" w:eastAsia="Times New Roman" w:hAnsi="Segoe UI" w:cs="Segoe UI"/>
          <w:i/>
          <w:iCs/>
          <w:sz w:val="22"/>
          <w:lang w:eastAsia="es-CO"/>
        </w:rPr>
        <w:t>, entidades públicas y privadas, y demás </w:t>
      </w:r>
      <w:r w:rsidRPr="005F11FC">
        <w:rPr>
          <w:rFonts w:ascii="Segoe UI" w:eastAsia="Times New Roman" w:hAnsi="Segoe UI" w:cs="Segoe UI"/>
          <w:b/>
          <w:bCs/>
          <w:i/>
          <w:iCs/>
          <w:sz w:val="22"/>
          <w:lang w:eastAsia="es-CO"/>
        </w:rPr>
        <w:t>obligados a practicar retenciones y autorretenciones en la fuente a título del Impuesto sobre la Renta, impuesto sobre las ventas (IVA) y Timbre, durante el año gravable 2020</w:t>
      </w:r>
      <w:r w:rsidRPr="005F11FC">
        <w:rPr>
          <w:rFonts w:ascii="Segoe UI" w:eastAsia="Times New Roman" w:hAnsi="Segoe UI" w:cs="Segoe UI"/>
          <w:i/>
          <w:iCs/>
          <w:sz w:val="22"/>
          <w:lang w:eastAsia="es-CO"/>
        </w:rPr>
        <w:t>.</w:t>
      </w:r>
    </w:p>
    <w:p w14:paraId="333EBDD6"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w:t>
      </w:r>
    </w:p>
    <w:p w14:paraId="09059C4D"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b/>
          <w:bCs/>
          <w:i/>
          <w:iCs/>
          <w:sz w:val="22"/>
          <w:lang w:eastAsia="es-CO"/>
        </w:rPr>
        <w:t>Parágrafo 1.</w:t>
      </w:r>
      <w:r w:rsidRPr="005F11FC">
        <w:rPr>
          <w:rFonts w:ascii="Segoe UI" w:eastAsia="Times New Roman" w:hAnsi="Segoe UI" w:cs="Segoe UI"/>
          <w:i/>
          <w:iCs/>
          <w:sz w:val="22"/>
          <w:lang w:eastAsia="es-CO"/>
        </w:rPr>
        <w:t> Para efectos de establecer la obligación de informar de las personas de los literales d) y e) del presenten artículo, los “Ingresos Brutos” incluyen todos los </w:t>
      </w:r>
      <w:r w:rsidRPr="005F11FC">
        <w:rPr>
          <w:rFonts w:ascii="Segoe UI" w:eastAsia="Times New Roman" w:hAnsi="Segoe UI" w:cs="Segoe UI"/>
          <w:b/>
          <w:bCs/>
          <w:i/>
          <w:iCs/>
          <w:sz w:val="22"/>
          <w:lang w:eastAsia="es-CO"/>
        </w:rPr>
        <w:t>ingresos ordinarios, extraordinarios </w:t>
      </w:r>
      <w:r w:rsidRPr="005F11FC">
        <w:rPr>
          <w:rFonts w:ascii="Segoe UI" w:eastAsia="Times New Roman" w:hAnsi="Segoe UI" w:cs="Segoe UI"/>
          <w:i/>
          <w:iCs/>
          <w:sz w:val="22"/>
          <w:lang w:eastAsia="es-CO"/>
        </w:rPr>
        <w:t>y los correspondientes a las ganancias ocasionales.” </w:t>
      </w:r>
      <w:r w:rsidRPr="005F11FC">
        <w:rPr>
          <w:rFonts w:ascii="Segoe UI" w:eastAsia="Times New Roman" w:hAnsi="Segoe UI" w:cs="Segoe UI"/>
          <w:sz w:val="22"/>
          <w:lang w:eastAsia="es-CO"/>
        </w:rPr>
        <w:t>(Negrilla fuera del texto)</w:t>
      </w:r>
      <w:r w:rsidRPr="005F11FC">
        <w:rPr>
          <w:rFonts w:ascii="Segoe UI" w:eastAsia="Times New Roman" w:hAnsi="Segoe UI" w:cs="Segoe UI"/>
          <w:i/>
          <w:iCs/>
          <w:sz w:val="22"/>
          <w:lang w:eastAsia="es-CO"/>
        </w:rPr>
        <w:t>.</w:t>
      </w:r>
    </w:p>
    <w:p w14:paraId="3749FC7B"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2C67D19A"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Respecto del criterio relacionado con los ingresos, el literal e) se refiere a ingresos brutos superiores a $100.000.000, los cuales no admiten distinción cuando se analiza lo relacionado con las personas jurídicas originadas en la constitución de la propiedad horizontal, aun cuando esta sea de uso residencial, comercial o mixto. Este ingreso parte de la información consignada en la contabilidad de esta persona jurídica.</w:t>
      </w:r>
    </w:p>
    <w:p w14:paraId="25E0CF66"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3C813659"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Esto significa que lo correspondiente a las cuotas de administración también hace parte de los ingresos a evaluar si se encuentra obligado a presentar información exógena, a que se refiere el artículo 1º.</w:t>
      </w:r>
    </w:p>
    <w:p w14:paraId="440EDA4F"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08D9EAB6"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En cuanto al contenido del literal f), según el </w:t>
      </w:r>
      <w:hyperlink r:id="rId7" w:tooltip="Estatuto Tributario CETA" w:history="1">
        <w:r w:rsidRPr="005F11FC">
          <w:rPr>
            <w:rFonts w:ascii="Segoe UI" w:eastAsia="Times New Roman" w:hAnsi="Segoe UI" w:cs="Segoe UI"/>
            <w:color w:val="0089E1"/>
            <w:sz w:val="22"/>
            <w:u w:val="single"/>
            <w:lang w:eastAsia="es-CO"/>
          </w:rPr>
          <w:t>artículo 368</w:t>
        </w:r>
      </w:hyperlink>
      <w:r w:rsidRPr="005F11FC">
        <w:rPr>
          <w:rFonts w:ascii="Segoe UI" w:eastAsia="Times New Roman" w:hAnsi="Segoe UI" w:cs="Segoe UI"/>
          <w:sz w:val="22"/>
          <w:lang w:eastAsia="es-CO"/>
        </w:rPr>
        <w:t> del Estatuto Tributario son agentes de retención o de percepción, entre otros, las personas jurídicas que por sus funciones intervengan en actos u operaciones en los cuales deban, por expresa disposición legal, efectuar la retención o percepción del tributo correspondiente.</w:t>
      </w:r>
    </w:p>
    <w:p w14:paraId="2B0DEBB6"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color w:val="000000"/>
          <w:sz w:val="18"/>
          <w:szCs w:val="18"/>
          <w:lang w:eastAsia="es-CO"/>
        </w:rPr>
        <w:t> </w:t>
      </w:r>
    </w:p>
    <w:p w14:paraId="5018634F"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color w:val="000000"/>
          <w:sz w:val="18"/>
          <w:szCs w:val="18"/>
          <w:lang w:eastAsia="es-CO"/>
        </w:rPr>
        <w:t>Así las cosas, el supuesto considerado en el literal f) no atiende a los ingresos percibidos sino a la función desarrollada por las personas jurídicas como agentes de retención, cuando realizan pagos, razón por la cual también se debe analizar este criterio con el fin de establecer si la persona jurídica originada en la constitución de la propiedad horizontal de uso residencial debe presentar información exógena por el año gravable 2020.</w:t>
      </w:r>
    </w:p>
    <w:p w14:paraId="52A69E65"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5D177A95"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xml:space="preserve">Finalmente, se sugiere a los peticionarios revisar el Concepto No. 906177 del 28 de junio de 2021 </w:t>
      </w:r>
      <w:proofErr w:type="spellStart"/>
      <w:r w:rsidRPr="005F11FC">
        <w:rPr>
          <w:rFonts w:ascii="Segoe UI" w:eastAsia="Times New Roman" w:hAnsi="Segoe UI" w:cs="Segoe UI"/>
          <w:sz w:val="22"/>
          <w:lang w:eastAsia="es-CO"/>
        </w:rPr>
        <w:t>int</w:t>
      </w:r>
      <w:proofErr w:type="spellEnd"/>
      <w:r w:rsidRPr="005F11FC">
        <w:rPr>
          <w:rFonts w:ascii="Segoe UI" w:eastAsia="Times New Roman" w:hAnsi="Segoe UI" w:cs="Segoe UI"/>
          <w:sz w:val="22"/>
          <w:lang w:eastAsia="es-CO"/>
        </w:rPr>
        <w:t>. 930 en donde se analizó esta misma temática.</w:t>
      </w:r>
    </w:p>
    <w:p w14:paraId="68C68390"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b/>
          <w:bCs/>
          <w:i/>
          <w:iCs/>
          <w:sz w:val="22"/>
          <w:lang w:eastAsia="es-CO"/>
        </w:rPr>
        <w:t> </w:t>
      </w:r>
    </w:p>
    <w:p w14:paraId="22B2188F"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b/>
          <w:bCs/>
          <w:i/>
          <w:iCs/>
          <w:sz w:val="22"/>
          <w:lang w:eastAsia="es-CO"/>
        </w:rPr>
        <w:t>2. ¿Se deben presentar los Formatos 1007, 1011 y 1012 por parte de una propiedad horizontal?</w:t>
      </w:r>
    </w:p>
    <w:p w14:paraId="2564F959"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2DBE852E"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Sobre la presentación de los Formatos 1007 </w:t>
      </w:r>
      <w:r w:rsidRPr="005F11FC">
        <w:rPr>
          <w:rFonts w:ascii="Segoe UI" w:eastAsia="Times New Roman" w:hAnsi="Segoe UI" w:cs="Segoe UI"/>
          <w:i/>
          <w:iCs/>
          <w:sz w:val="22"/>
          <w:lang w:eastAsia="es-CO"/>
        </w:rPr>
        <w:t>“Ingresos Recibidos”</w:t>
      </w:r>
      <w:r w:rsidRPr="005F11FC">
        <w:rPr>
          <w:rFonts w:ascii="Segoe UI" w:eastAsia="Times New Roman" w:hAnsi="Segoe UI" w:cs="Segoe UI"/>
          <w:sz w:val="22"/>
          <w:lang w:eastAsia="es-CO"/>
        </w:rPr>
        <w:t>, 1011 </w:t>
      </w:r>
      <w:r w:rsidRPr="005F11FC">
        <w:rPr>
          <w:rFonts w:ascii="Segoe UI" w:eastAsia="Times New Roman" w:hAnsi="Segoe UI" w:cs="Segoe UI"/>
          <w:i/>
          <w:iCs/>
          <w:sz w:val="22"/>
          <w:lang w:eastAsia="es-CO"/>
        </w:rPr>
        <w:t>“Información de las Declaraciones Tributarias” </w:t>
      </w:r>
      <w:r w:rsidRPr="005F11FC">
        <w:rPr>
          <w:rFonts w:ascii="Segoe UI" w:eastAsia="Times New Roman" w:hAnsi="Segoe UI" w:cs="Segoe UI"/>
          <w:sz w:val="22"/>
          <w:lang w:eastAsia="es-CO"/>
        </w:rPr>
        <w:t>y 1012 </w:t>
      </w:r>
      <w:r w:rsidRPr="005F11FC">
        <w:rPr>
          <w:rFonts w:ascii="Segoe UI" w:eastAsia="Times New Roman" w:hAnsi="Segoe UI" w:cs="Segoe UI"/>
          <w:i/>
          <w:iCs/>
          <w:sz w:val="22"/>
          <w:lang w:eastAsia="es-CO"/>
        </w:rPr>
        <w:t>“Información de las declaraciones tributarias, acciones y aportes e inversiones en bonos, certificados, títulos y demás inversiones tributarias”</w:t>
      </w:r>
      <w:r w:rsidRPr="005F11FC">
        <w:rPr>
          <w:rFonts w:ascii="Segoe UI" w:eastAsia="Times New Roman" w:hAnsi="Segoe UI" w:cs="Segoe UI"/>
          <w:sz w:val="22"/>
          <w:lang w:eastAsia="es-CO"/>
        </w:rPr>
        <w:t>, en el caso de la persona jurídica originada en la constitución de la propiedad horizontal de uso residencial, es importante precisar:</w:t>
      </w:r>
    </w:p>
    <w:p w14:paraId="0107F1E2"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28D7191C" w14:textId="77777777" w:rsidR="005F11FC" w:rsidRPr="005F11FC" w:rsidRDefault="005F11FC" w:rsidP="005F11FC">
      <w:pPr>
        <w:spacing w:after="0" w:line="240" w:lineRule="auto"/>
        <w:ind w:left="567" w:hanging="283"/>
        <w:jc w:val="both"/>
        <w:rPr>
          <w:rFonts w:ascii="Arial" w:eastAsia="Times New Roman" w:hAnsi="Arial" w:cs="Arial"/>
          <w:color w:val="000000"/>
          <w:sz w:val="18"/>
          <w:szCs w:val="18"/>
          <w:lang w:eastAsia="es-CO"/>
        </w:rPr>
      </w:pPr>
      <w:r w:rsidRPr="005F11FC">
        <w:rPr>
          <w:rFonts w:ascii="Symbol" w:eastAsia="Times New Roman" w:hAnsi="Symbol" w:cs="Arial"/>
          <w:sz w:val="22"/>
          <w:lang w:eastAsia="es-CO"/>
        </w:rPr>
        <w:t>·</w:t>
      </w:r>
      <w:r w:rsidRPr="005F11FC">
        <w:rPr>
          <w:rFonts w:eastAsia="Times New Roman" w:cs="Times New Roman"/>
          <w:sz w:val="14"/>
          <w:szCs w:val="14"/>
          <w:lang w:eastAsia="es-CO"/>
        </w:rPr>
        <w:t>      </w:t>
      </w:r>
      <w:r w:rsidRPr="005F11FC">
        <w:rPr>
          <w:rFonts w:ascii="Segoe UI" w:eastAsia="Times New Roman" w:hAnsi="Segoe UI" w:cs="Segoe UI"/>
          <w:sz w:val="22"/>
          <w:lang w:eastAsia="es-CO"/>
        </w:rPr>
        <w:t>Según lo dispuesto en el artículo 19 de la Resolución No. 00070 de 2019, el Formato 1007 no hace distinción del tipo de persona jurídica que debe reportar la información contenida en el mismo.</w:t>
      </w:r>
    </w:p>
    <w:p w14:paraId="5EEB0EE1" w14:textId="77777777" w:rsidR="005F11FC" w:rsidRPr="005F11FC" w:rsidRDefault="005F11FC" w:rsidP="005F11FC">
      <w:pPr>
        <w:spacing w:after="0" w:line="240" w:lineRule="auto"/>
        <w:ind w:left="567" w:hanging="283"/>
        <w:jc w:val="both"/>
        <w:rPr>
          <w:rFonts w:ascii="Arial" w:eastAsia="Times New Roman" w:hAnsi="Arial" w:cs="Arial"/>
          <w:color w:val="000000"/>
          <w:sz w:val="18"/>
          <w:szCs w:val="18"/>
          <w:lang w:eastAsia="es-CO"/>
        </w:rPr>
      </w:pPr>
      <w:r w:rsidRPr="005F11FC">
        <w:rPr>
          <w:rFonts w:ascii="Symbol" w:eastAsia="Times New Roman" w:hAnsi="Symbol" w:cs="Arial"/>
          <w:sz w:val="22"/>
          <w:lang w:eastAsia="es-CO"/>
        </w:rPr>
        <w:t>·</w:t>
      </w:r>
      <w:r w:rsidRPr="005F11FC">
        <w:rPr>
          <w:rFonts w:eastAsia="Times New Roman" w:cs="Times New Roman"/>
          <w:sz w:val="14"/>
          <w:szCs w:val="14"/>
          <w:lang w:eastAsia="es-CO"/>
        </w:rPr>
        <w:t>      </w:t>
      </w:r>
      <w:r w:rsidRPr="005F11FC">
        <w:rPr>
          <w:rFonts w:ascii="Segoe UI" w:eastAsia="Times New Roman" w:hAnsi="Segoe UI" w:cs="Segoe UI"/>
          <w:sz w:val="22"/>
          <w:lang w:eastAsia="es-CO"/>
        </w:rPr>
        <w:t>Los Formatos 1011 y 1012 están relacionados con información de las declaraciones tributarias, situación que deberá analizarse en cada caso particular con el fin de verificar si proceden o no los mismos.</w:t>
      </w:r>
    </w:p>
    <w:p w14:paraId="7AA6AC8F"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lastRenderedPageBreak/>
        <w:t> </w:t>
      </w:r>
    </w:p>
    <w:p w14:paraId="6736D1CC"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b/>
          <w:bCs/>
          <w:i/>
          <w:iCs/>
          <w:sz w:val="22"/>
          <w:lang w:eastAsia="es-CO"/>
        </w:rPr>
        <w:t xml:space="preserve">3. ¿Deben informar la totalidad de las operaciones realizadas por pagos o abonos en cuenta, independientemente que se haya practicado retención en la fuente o no, en el concepto contable a que correspondan, sin tener en cuenta el valor mínimo a reportar señalado en el parágrafo 1 del artículo 17? </w:t>
      </w:r>
      <w:proofErr w:type="gramStart"/>
      <w:r w:rsidRPr="005F11FC">
        <w:rPr>
          <w:rFonts w:ascii="Segoe UI" w:eastAsia="Times New Roman" w:hAnsi="Segoe UI" w:cs="Segoe UI"/>
          <w:b/>
          <w:bCs/>
          <w:i/>
          <w:iCs/>
          <w:sz w:val="22"/>
          <w:lang w:eastAsia="es-CO"/>
        </w:rPr>
        <w:t>¿Cómo se debe entender lo dispuesto en el literal f) de la Resolución No.</w:t>
      </w:r>
      <w:proofErr w:type="gramEnd"/>
      <w:r w:rsidRPr="005F11FC">
        <w:rPr>
          <w:rFonts w:ascii="Segoe UI" w:eastAsia="Times New Roman" w:hAnsi="Segoe UI" w:cs="Segoe UI"/>
          <w:b/>
          <w:bCs/>
          <w:i/>
          <w:iCs/>
          <w:sz w:val="22"/>
          <w:lang w:eastAsia="es-CO"/>
        </w:rPr>
        <w:t xml:space="preserve"> 000070 de 2019, en el caso de los no contribuyentes que no practicaron retención en la fuente ni autorretenciones?</w:t>
      </w:r>
    </w:p>
    <w:p w14:paraId="3D1B7605"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618B81C5"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Respecto de la información a suministrarse en el Formato 1001, el artículo 17 de la Resolución No. 000070 de 2019 precisa para los obligados lo siguiente:</w:t>
      </w:r>
    </w:p>
    <w:p w14:paraId="3FFE483F"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 </w:t>
      </w:r>
    </w:p>
    <w:p w14:paraId="19265F06"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 deberán informar: los apellidos y nombres o razón social, identificación, dirección y país de residencia o domicilio de cada una de las personas o entidades beneficiarias de los pagos o abonos en cuenta (devengo) que constituyan costo o deducción o den derecho a impuesto descontable, incluida la compra de activos fijos o movibles y los pagos o abonos en cuenta (devengo) no solicitados fiscalmente como costo o deducción, </w:t>
      </w:r>
      <w:r w:rsidRPr="005F11FC">
        <w:rPr>
          <w:rFonts w:ascii="Segoe UI" w:eastAsia="Times New Roman" w:hAnsi="Segoe UI" w:cs="Segoe UI"/>
          <w:b/>
          <w:bCs/>
          <w:i/>
          <w:iCs/>
          <w:sz w:val="22"/>
          <w:lang w:eastAsia="es-CO"/>
        </w:rPr>
        <w:t>los valores de las retenciones en la fuente </w:t>
      </w:r>
      <w:r w:rsidRPr="005F11FC">
        <w:rPr>
          <w:rFonts w:ascii="Segoe UI" w:eastAsia="Times New Roman" w:hAnsi="Segoe UI" w:cs="Segoe UI"/>
          <w:b/>
          <w:bCs/>
          <w:i/>
          <w:iCs/>
          <w:sz w:val="22"/>
          <w:u w:val="single"/>
          <w:lang w:eastAsia="es-CO"/>
        </w:rPr>
        <w:t>practicadas o asumidas</w:t>
      </w:r>
      <w:r w:rsidRPr="005F11FC">
        <w:rPr>
          <w:rFonts w:ascii="Segoe UI" w:eastAsia="Times New Roman" w:hAnsi="Segoe UI" w:cs="Segoe UI"/>
          <w:b/>
          <w:bCs/>
          <w:i/>
          <w:iCs/>
          <w:sz w:val="22"/>
          <w:lang w:eastAsia="es-CO"/>
        </w:rPr>
        <w:t> a título de los impuestos sobre la Renta, IVA y Timbre</w:t>
      </w:r>
      <w:r w:rsidRPr="005F11FC">
        <w:rPr>
          <w:rFonts w:ascii="Segoe UI" w:eastAsia="Times New Roman" w:hAnsi="Segoe UI" w:cs="Segoe UI"/>
          <w:i/>
          <w:iCs/>
          <w:sz w:val="22"/>
          <w:lang w:eastAsia="es-CO"/>
        </w:rPr>
        <w:t>, según el concepto contable a que correspondan en el Formato 1001 Versión 10 - Pagos o abonos en cuenta y retenciones practicadas, de la siguiente manera: (…)” </w:t>
      </w:r>
      <w:r w:rsidRPr="005F11FC">
        <w:rPr>
          <w:rFonts w:ascii="Segoe UI" w:eastAsia="Times New Roman" w:hAnsi="Segoe UI" w:cs="Segoe UI"/>
          <w:sz w:val="22"/>
          <w:lang w:eastAsia="es-CO"/>
        </w:rPr>
        <w:t>(Negrilla y subrayado fuera del texto).</w:t>
      </w:r>
    </w:p>
    <w:p w14:paraId="70181D41"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b/>
          <w:bCs/>
          <w:i/>
          <w:iCs/>
          <w:sz w:val="22"/>
          <w:lang w:eastAsia="es-CO"/>
        </w:rPr>
        <w:t> </w:t>
      </w:r>
    </w:p>
    <w:p w14:paraId="682729AB"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b/>
          <w:bCs/>
          <w:i/>
          <w:iCs/>
          <w:sz w:val="22"/>
          <w:lang w:eastAsia="es-CO"/>
        </w:rPr>
        <w:t>4. ¿Los contribuyentes que se acojan al Régimen Simple de tributación deben tener en cuenta las cuantías menores de los Formatos 1001, 1006 y 1007?</w:t>
      </w:r>
    </w:p>
    <w:p w14:paraId="4176640E"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75E94C3E"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Los literales d) y e) del artículo 1º de la Resolución No. 000070 de 2019 establecen:</w:t>
      </w:r>
    </w:p>
    <w:p w14:paraId="121EDA97"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 </w:t>
      </w:r>
    </w:p>
    <w:p w14:paraId="44B49445"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w:t>
      </w:r>
      <w:r w:rsidRPr="005F11FC">
        <w:rPr>
          <w:rFonts w:ascii="Segoe UI" w:eastAsia="Times New Roman" w:hAnsi="Segoe UI" w:cs="Segoe UI"/>
          <w:b/>
          <w:bCs/>
          <w:i/>
          <w:iCs/>
          <w:sz w:val="22"/>
          <w:lang w:eastAsia="es-CO"/>
        </w:rPr>
        <w:t>Artículo 1.</w:t>
      </w:r>
      <w:r w:rsidRPr="005F11FC">
        <w:rPr>
          <w:rFonts w:ascii="Segoe UI" w:eastAsia="Times New Roman" w:hAnsi="Segoe UI" w:cs="Segoe UI"/>
          <w:i/>
          <w:iCs/>
          <w:sz w:val="22"/>
          <w:lang w:eastAsia="es-CO"/>
        </w:rPr>
        <w:t> Sujetos obligados a presentar información exógena por el año gravable 2020. Deberán suministrar información, los siguientes obligados:</w:t>
      </w:r>
    </w:p>
    <w:p w14:paraId="5EA8E47F"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color w:val="000000"/>
          <w:sz w:val="18"/>
          <w:szCs w:val="18"/>
          <w:lang w:eastAsia="es-CO"/>
        </w:rPr>
        <w:t> </w:t>
      </w:r>
    </w:p>
    <w:p w14:paraId="1052B647"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color w:val="000000"/>
          <w:sz w:val="18"/>
          <w:szCs w:val="18"/>
          <w:lang w:eastAsia="es-CO"/>
        </w:rPr>
        <w:t>(…)</w:t>
      </w:r>
    </w:p>
    <w:p w14:paraId="502788F9"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 </w:t>
      </w:r>
    </w:p>
    <w:p w14:paraId="17BEA7BA"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d) Las personas naturales y sus asimiladas que durante el año gravable 2019 o en el año gravable 2020, hayan obtenido ingresos brutos superiores a quinientos millones de pesos ($500.000.000); y la suma de los Ingresos brutos obtenidos por rentas de capital y/o rentas no laborales durante el año gravable 2020 superen los cien millones de pesos ($100.000.000).</w:t>
      </w:r>
    </w:p>
    <w:p w14:paraId="08355A4C" w14:textId="77777777" w:rsidR="005F11FC" w:rsidRPr="005F11FC" w:rsidRDefault="005F11FC" w:rsidP="005F11FC">
      <w:pPr>
        <w:spacing w:after="0" w:line="240" w:lineRule="auto"/>
        <w:ind w:left="284"/>
        <w:jc w:val="both"/>
        <w:rPr>
          <w:rFonts w:ascii="Arial" w:eastAsia="Times New Roman" w:hAnsi="Arial" w:cs="Arial"/>
          <w:color w:val="000000"/>
          <w:sz w:val="18"/>
          <w:szCs w:val="18"/>
          <w:lang w:eastAsia="es-CO"/>
        </w:rPr>
      </w:pPr>
      <w:r w:rsidRPr="005F11FC">
        <w:rPr>
          <w:rFonts w:ascii="Segoe UI" w:eastAsia="Times New Roman" w:hAnsi="Segoe UI" w:cs="Segoe UI"/>
          <w:i/>
          <w:iCs/>
          <w:sz w:val="22"/>
          <w:lang w:eastAsia="es-CO"/>
        </w:rPr>
        <w:t>e) Las personas jurídicas y sus asimiladas y demás entidades públicas y privadas que en el año gravable 2019 o en el año gravable 2020 hayan obtenido ingresos brutos superiores a cien millones de pesos ($100.000.000). (…)”</w:t>
      </w:r>
    </w:p>
    <w:p w14:paraId="01D5D348"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03171114"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xml:space="preserve">Respecto de las personas naturales del literal d) este Despacho indicó mediante Oficio No. 904820 - </w:t>
      </w:r>
      <w:proofErr w:type="spellStart"/>
      <w:r w:rsidRPr="005F11FC">
        <w:rPr>
          <w:rFonts w:ascii="Segoe UI" w:eastAsia="Times New Roman" w:hAnsi="Segoe UI" w:cs="Segoe UI"/>
          <w:sz w:val="22"/>
          <w:lang w:eastAsia="es-CO"/>
        </w:rPr>
        <w:t>int</w:t>
      </w:r>
      <w:proofErr w:type="spellEnd"/>
      <w:r w:rsidRPr="005F11FC">
        <w:rPr>
          <w:rFonts w:ascii="Segoe UI" w:eastAsia="Times New Roman" w:hAnsi="Segoe UI" w:cs="Segoe UI"/>
          <w:sz w:val="22"/>
          <w:lang w:eastAsia="es-CO"/>
        </w:rPr>
        <w:t xml:space="preserve"> 743 del 28 de mayo de 2021, que las personas naturales y sus asimiladas deben cumplir con la totalidad de las condiciones señaladas.</w:t>
      </w:r>
    </w:p>
    <w:p w14:paraId="26F6EE48"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6A200B9A"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Por su parte, de la lectura del literal e) se tiene que no hay distinción frente al tipo de persona jurídica obligada, razón por la cual en la medida que se cumplan los presupuestos mencionados (tipo de persona e ingresos brutos) estará sujeto a lo dispuesto en esta resolución.</w:t>
      </w:r>
    </w:p>
    <w:p w14:paraId="6A6A0822"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00C6DD7E"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El </w:t>
      </w:r>
      <w:hyperlink r:id="rId8" w:tooltip="Estatuto Tributario CETA" w:history="1">
        <w:r w:rsidRPr="005F11FC">
          <w:rPr>
            <w:rFonts w:ascii="Segoe UI" w:eastAsia="Times New Roman" w:hAnsi="Segoe UI" w:cs="Segoe UI"/>
            <w:color w:val="0089E1"/>
            <w:sz w:val="22"/>
            <w:u w:val="single"/>
            <w:lang w:eastAsia="es-CO"/>
          </w:rPr>
          <w:t>artículo 905</w:t>
        </w:r>
      </w:hyperlink>
      <w:r w:rsidRPr="005F11FC">
        <w:rPr>
          <w:rFonts w:ascii="Segoe UI" w:eastAsia="Times New Roman" w:hAnsi="Segoe UI" w:cs="Segoe UI"/>
          <w:sz w:val="22"/>
          <w:lang w:eastAsia="es-CO"/>
        </w:rPr>
        <w:t> del Estatuto Tributario establece dentro de los sujetos pasivos del impuesto unificado bajo el Régimen Simple de Tributación –SIMPLE las personas naturales que desarrollen una empresa o personas jurídicas en la que sus socios, partícipes o accionistas sean personas naturales, nacionales o extranjeras, residentes en Colombia.</w:t>
      </w:r>
    </w:p>
    <w:p w14:paraId="682BD5C8"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74B53D89"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En consecuencia, estas personas naturales y jurídicas contribuyentes bajo el Régimen SIMPLE deberán analizar en cada caso particular, si cumplen los supuestos de los literales d) y e) del artículo 1º de la Resolución No. 000070 de 2019.</w:t>
      </w:r>
    </w:p>
    <w:p w14:paraId="68069AF1"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6072F839"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lastRenderedPageBreak/>
        <w:t>Precisado lo anterior, respecto del Formato 1001 “</w:t>
      </w:r>
      <w:r w:rsidRPr="005F11FC">
        <w:rPr>
          <w:rFonts w:ascii="Segoe UI" w:eastAsia="Times New Roman" w:hAnsi="Segoe UI" w:cs="Segoe UI"/>
          <w:i/>
          <w:iCs/>
          <w:sz w:val="22"/>
          <w:lang w:eastAsia="es-CO"/>
        </w:rPr>
        <w:t>Pagos o abonos en cuenta y retenciones practicadas</w:t>
      </w:r>
      <w:r w:rsidRPr="005F11FC">
        <w:rPr>
          <w:rFonts w:ascii="Segoe UI" w:eastAsia="Times New Roman" w:hAnsi="Segoe UI" w:cs="Segoe UI"/>
          <w:sz w:val="22"/>
          <w:lang w:eastAsia="es-CO"/>
        </w:rPr>
        <w:t>”, el artículo 17 dispone que a este se encuentran obligadas, entre otras, las personas naturales y sus asimiladas y las personas jurídicas y sus asimiladas, enunciadas en los literales d) y e) del artículo 1.</w:t>
      </w:r>
    </w:p>
    <w:p w14:paraId="35A99965"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466E86BE"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No obstante, el </w:t>
      </w:r>
      <w:hyperlink r:id="rId9" w:tooltip="Estatuto Tributario CETA" w:history="1">
        <w:r w:rsidRPr="005F11FC">
          <w:rPr>
            <w:rFonts w:ascii="Segoe UI" w:eastAsia="Times New Roman" w:hAnsi="Segoe UI" w:cs="Segoe UI"/>
            <w:color w:val="0089E1"/>
            <w:sz w:val="22"/>
            <w:u w:val="single"/>
            <w:lang w:eastAsia="es-CO"/>
          </w:rPr>
          <w:t>artículo 911</w:t>
        </w:r>
      </w:hyperlink>
      <w:r w:rsidRPr="005F11FC">
        <w:rPr>
          <w:rFonts w:ascii="Segoe UI" w:eastAsia="Times New Roman" w:hAnsi="Segoe UI" w:cs="Segoe UI"/>
          <w:sz w:val="22"/>
          <w:lang w:eastAsia="es-CO"/>
        </w:rPr>
        <w:t> del Estatuto Tributario indica que los contribuyentes del SIMPLE no estarán sujetos a retención en la fuente y tampoco estarán obligados a practicar retenciones y autorretenciones en la fuente, con excepción de las correspondientes a pagos laborales. Esta situación incide evidentemente en el tipo de información a presentar por parte de este obligado.</w:t>
      </w:r>
    </w:p>
    <w:p w14:paraId="1933F2B4"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78F2A865"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En cuanto al Formato 1006 “</w:t>
      </w:r>
      <w:r w:rsidRPr="005F11FC">
        <w:rPr>
          <w:rFonts w:ascii="Segoe UI" w:eastAsia="Times New Roman" w:hAnsi="Segoe UI" w:cs="Segoe UI"/>
          <w:i/>
          <w:iCs/>
          <w:sz w:val="22"/>
          <w:lang w:eastAsia="es-CO"/>
        </w:rPr>
        <w:t>Impuesto a las Ventas por Pagar (Generado) e Impuesto al Consumo</w:t>
      </w:r>
      <w:r w:rsidRPr="005F11FC">
        <w:rPr>
          <w:rFonts w:ascii="Segoe UI" w:eastAsia="Times New Roman" w:hAnsi="Segoe UI" w:cs="Segoe UI"/>
          <w:sz w:val="22"/>
          <w:lang w:eastAsia="es-CO"/>
        </w:rPr>
        <w:t>” el artículo 20 de la Resolución No. 000070 de 2019 dispone que a este se encuentran obligadas las personas naturales y sus asimiladas, las personas jurídicas y sus asimiladas, enunciadas en los literales d), e) del artículo 1, entre otros, lo cual supone el cumplimiento integral de este artículo. En ese sentido, se deberá considerar si el contribuyente del SIMPLE es responsable de estos impuestos o no.</w:t>
      </w:r>
    </w:p>
    <w:p w14:paraId="10333610"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 </w:t>
      </w:r>
    </w:p>
    <w:p w14:paraId="17ADB199"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Por último, respecto del Formato 1007 “</w:t>
      </w:r>
      <w:r w:rsidRPr="005F11FC">
        <w:rPr>
          <w:rFonts w:ascii="Segoe UI" w:eastAsia="Times New Roman" w:hAnsi="Segoe UI" w:cs="Segoe UI"/>
          <w:i/>
          <w:iCs/>
          <w:sz w:val="22"/>
          <w:lang w:eastAsia="es-CO"/>
        </w:rPr>
        <w:t>Ingresos Recibidos</w:t>
      </w:r>
      <w:r w:rsidRPr="005F11FC">
        <w:rPr>
          <w:rFonts w:ascii="Segoe UI" w:eastAsia="Times New Roman" w:hAnsi="Segoe UI" w:cs="Segoe UI"/>
          <w:sz w:val="22"/>
          <w:lang w:eastAsia="es-CO"/>
        </w:rPr>
        <w:t>” el artículo 19 trae una previsión similar, esto es, están obligados a su diligenciamiento, entre otras, las personas naturales y sus asimiladas y las personas jurídicas y sus asimiladas, enunciadas en los literales d), e) del artículo 1, lo que supone el cumplimiento integral de este artículo.</w:t>
      </w:r>
    </w:p>
    <w:p w14:paraId="7D82ED61"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b/>
          <w:bCs/>
          <w:sz w:val="22"/>
          <w:lang w:eastAsia="es-CO"/>
        </w:rPr>
        <w:t> </w:t>
      </w:r>
    </w:p>
    <w:p w14:paraId="22D9A849"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b/>
          <w:bCs/>
          <w:sz w:val="22"/>
          <w:lang w:eastAsia="es-CO"/>
        </w:rPr>
        <w:t>Nota final:</w:t>
      </w:r>
    </w:p>
    <w:p w14:paraId="1319D0B7"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color w:val="000000"/>
          <w:sz w:val="18"/>
          <w:szCs w:val="18"/>
          <w:lang w:eastAsia="es-CO"/>
        </w:rPr>
        <w:t> </w:t>
      </w:r>
    </w:p>
    <w:p w14:paraId="6068A7F0"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color w:val="000000"/>
          <w:sz w:val="18"/>
          <w:szCs w:val="18"/>
          <w:lang w:eastAsia="es-CO"/>
        </w:rPr>
        <w:t>Sin perjuicio de lo anteriormente mencionado, este Despacho enviará a la Dirección de Gestión Organizacional, Subdirección de Gestión de Análisis Operacional - Coordinación de Programas de Control y Facilitación las preguntas de los antecedentes relacionadas con los puntos 2, 3 y 4 del presente oficio, para lo de su competencia.</w:t>
      </w:r>
    </w:p>
    <w:p w14:paraId="63829AE6" w14:textId="77777777" w:rsidR="005F11FC" w:rsidRDefault="005F11FC" w:rsidP="005F11FC">
      <w:pPr>
        <w:spacing w:after="0" w:line="240" w:lineRule="auto"/>
        <w:jc w:val="both"/>
        <w:rPr>
          <w:rFonts w:ascii="Segoe UI" w:eastAsia="Times New Roman" w:hAnsi="Segoe UI" w:cs="Segoe UI"/>
          <w:sz w:val="22"/>
          <w:lang w:eastAsia="es-CO"/>
        </w:rPr>
      </w:pPr>
    </w:p>
    <w:p w14:paraId="4E27D737" w14:textId="044DFD2A" w:rsidR="005F11FC" w:rsidRPr="005F11FC" w:rsidRDefault="005F11FC" w:rsidP="005F11FC">
      <w:pPr>
        <w:pStyle w:val="default"/>
        <w:spacing w:before="0" w:beforeAutospacing="0" w:after="0" w:afterAutospacing="0"/>
        <w:jc w:val="both"/>
        <w:rPr>
          <w:rFonts w:ascii="Arial" w:hAnsi="Arial" w:cs="Arial"/>
          <w:color w:val="000000"/>
          <w:sz w:val="18"/>
          <w:szCs w:val="18"/>
        </w:rPr>
      </w:pPr>
    </w:p>
    <w:p w14:paraId="29123BF6" w14:textId="4FFA3DF6"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Atentamente,</w:t>
      </w:r>
    </w:p>
    <w:p w14:paraId="3B932828"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b/>
          <w:bCs/>
          <w:sz w:val="22"/>
          <w:lang w:eastAsia="es-CO"/>
        </w:rPr>
        <w:t> </w:t>
      </w:r>
    </w:p>
    <w:p w14:paraId="17784D91"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b/>
          <w:bCs/>
          <w:sz w:val="22"/>
          <w:lang w:eastAsia="es-CO"/>
        </w:rPr>
        <w:t> </w:t>
      </w:r>
    </w:p>
    <w:p w14:paraId="7D446EA4"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b/>
          <w:bCs/>
          <w:sz w:val="22"/>
          <w:lang w:eastAsia="es-CO"/>
        </w:rPr>
        <w:t>NICOLÁS BERNAL ABELLA</w:t>
      </w:r>
    </w:p>
    <w:p w14:paraId="455587E8"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Subdirector de Gestión Normativa y Doctrina (E)</w:t>
      </w:r>
    </w:p>
    <w:p w14:paraId="7D4BB2B5"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sz w:val="22"/>
          <w:lang w:eastAsia="es-CO"/>
        </w:rPr>
        <w:t>Dirección de Gestión Jurídica</w:t>
      </w:r>
    </w:p>
    <w:p w14:paraId="5C13CB61" w14:textId="77777777" w:rsidR="005F11FC" w:rsidRPr="005F11FC" w:rsidRDefault="005F11FC" w:rsidP="005F11FC">
      <w:pPr>
        <w:spacing w:after="0" w:line="240" w:lineRule="auto"/>
        <w:jc w:val="both"/>
        <w:rPr>
          <w:rFonts w:ascii="Arial" w:eastAsia="Times New Roman" w:hAnsi="Arial" w:cs="Arial"/>
          <w:color w:val="000000"/>
          <w:sz w:val="18"/>
          <w:szCs w:val="18"/>
          <w:lang w:eastAsia="es-CO"/>
        </w:rPr>
      </w:pPr>
      <w:r w:rsidRPr="005F11FC">
        <w:rPr>
          <w:rFonts w:ascii="Segoe UI" w:eastAsia="Times New Roman" w:hAnsi="Segoe UI" w:cs="Segoe UI"/>
          <w:color w:val="000000"/>
          <w:sz w:val="18"/>
          <w:szCs w:val="18"/>
          <w:lang w:eastAsia="es-CO"/>
        </w:rPr>
        <w:t>UAE- Dirección de Impuestos y Aduanas Nacionales</w:t>
      </w:r>
    </w:p>
    <w:p w14:paraId="525EDF17"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FC"/>
    <w:rsid w:val="000F3837"/>
    <w:rsid w:val="001E311E"/>
    <w:rsid w:val="00434AE6"/>
    <w:rsid w:val="005F11FC"/>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8148"/>
  <w15:chartTrackingRefBased/>
  <w15:docId w15:val="{01CDFDDB-3DAE-4F59-ADB4-647F5AD7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5F11FC"/>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5F1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396">
      <w:bodyDiv w:val="1"/>
      <w:marLeft w:val="0"/>
      <w:marRight w:val="0"/>
      <w:marTop w:val="0"/>
      <w:marBottom w:val="0"/>
      <w:divBdr>
        <w:top w:val="none" w:sz="0" w:space="0" w:color="auto"/>
        <w:left w:val="none" w:sz="0" w:space="0" w:color="auto"/>
        <w:bottom w:val="none" w:sz="0" w:space="0" w:color="auto"/>
        <w:right w:val="none" w:sz="0" w:space="0" w:color="auto"/>
      </w:divBdr>
    </w:div>
    <w:div w:id="870802080">
      <w:bodyDiv w:val="1"/>
      <w:marLeft w:val="0"/>
      <w:marRight w:val="0"/>
      <w:marTop w:val="0"/>
      <w:marBottom w:val="0"/>
      <w:divBdr>
        <w:top w:val="none" w:sz="0" w:space="0" w:color="auto"/>
        <w:left w:val="none" w:sz="0" w:space="0" w:color="auto"/>
        <w:bottom w:val="none" w:sz="0" w:space="0" w:color="auto"/>
        <w:right w:val="none" w:sz="0" w:space="0" w:color="auto"/>
      </w:divBdr>
    </w:div>
    <w:div w:id="1022316952">
      <w:bodyDiv w:val="1"/>
      <w:marLeft w:val="0"/>
      <w:marRight w:val="0"/>
      <w:marTop w:val="0"/>
      <w:marBottom w:val="0"/>
      <w:divBdr>
        <w:top w:val="none" w:sz="0" w:space="0" w:color="auto"/>
        <w:left w:val="none" w:sz="0" w:space="0" w:color="auto"/>
        <w:bottom w:val="none" w:sz="0" w:space="0" w:color="auto"/>
        <w:right w:val="none" w:sz="0" w:space="0" w:color="auto"/>
      </w:divBdr>
    </w:div>
    <w:div w:id="10502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1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22" TargetMode="External"/><Relationship Id="rId11" Type="http://schemas.openxmlformats.org/officeDocument/2006/relationships/theme" Target="theme/theme1.xml"/><Relationship Id="rId5" Type="http://schemas.openxmlformats.org/officeDocument/2006/relationships/hyperlink" Target="https://www.ceta.org.co/html/vista_de_un_articulo.asp?Norma=42516" TargetMode="External"/><Relationship Id="rId10" Type="http://schemas.openxmlformats.org/officeDocument/2006/relationships/fontTable" Target="fontTable.xml"/><Relationship Id="rId4" Type="http://schemas.openxmlformats.org/officeDocument/2006/relationships/hyperlink" Target="https://www.ceta.org.co/html/vista_de_un_articulo.asp?Norma=459" TargetMode="External"/><Relationship Id="rId9" Type="http://schemas.openxmlformats.org/officeDocument/2006/relationships/hyperlink" Target="https://www.ceta.org.co/html/vista_de_un_articulo.asp?Norma=425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1990</Words>
  <Characters>10949</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2021-10-20T14:27:00Z</dcterms:created>
  <dcterms:modified xsi:type="dcterms:W3CDTF">2021-10-20T14:29:00Z</dcterms:modified>
</cp:coreProperties>
</file>